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E2" w:rsidRPr="00CD72E2" w:rsidRDefault="00CD72E2" w:rsidP="00CD72E2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CD72E2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CD72E2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CD72E2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 трехходовой, ручка-рычаг, В-В-В</w:t>
      </w:r>
    </w:p>
    <w:p w:rsidR="00CF10F6" w:rsidRDefault="00CD72E2">
      <w:hyperlink r:id="rId4" w:history="1">
        <w:r w:rsidRPr="00071136">
          <w:rPr>
            <w:rStyle w:val="a3"/>
          </w:rPr>
          <w:t>https://www.proaqua.pro/catalog/armatura/sharovye-krany/sharovye-krany-spetsialnogo-naznacheniya/kran-sharovoy-polnoprokhodnoy-trekhkhodovoy-ruchka-rychag-v-v-v26/</w:t>
        </w:r>
      </w:hyperlink>
    </w:p>
    <w:p w:rsidR="00CD72E2" w:rsidRDefault="00CD72E2" w:rsidP="00CD72E2">
      <w:pPr>
        <w:pStyle w:val="a4"/>
        <w:shd w:val="clear" w:color="auto" w:fill="F3F3F3"/>
        <w:spacing w:before="0" w:beforeAutospacing="0" w:after="158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Кран применяется в случае необходимости регулировки направления</w:t>
      </w:r>
      <w:r>
        <w:rPr>
          <w:rFonts w:ascii="Arial" w:hAnsi="Arial" w:cs="Arial"/>
          <w:color w:val="000000"/>
          <w:sz w:val="23"/>
          <w:szCs w:val="23"/>
        </w:rPr>
        <w:br/>
        <w:t>движения потока в трубопроводах систем питьевого водоснабжения, отопления. Тип затвора (L,Т) обозначен на рукоятке крана.</w:t>
      </w:r>
    </w:p>
    <w:p w:rsidR="00CD72E2" w:rsidRDefault="00CD72E2" w:rsidP="00CD72E2">
      <w:pPr>
        <w:pStyle w:val="a4"/>
        <w:shd w:val="clear" w:color="auto" w:fill="F3F3F3"/>
        <w:spacing w:before="0" w:beforeAutospacing="0" w:after="158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Корпус крана выполнен из латуни марки CW617N.</w:t>
      </w:r>
      <w:r>
        <w:rPr>
          <w:rFonts w:ascii="Arial" w:hAnsi="Arial" w:cs="Arial"/>
          <w:color w:val="000000"/>
          <w:sz w:val="23"/>
          <w:szCs w:val="23"/>
        </w:rPr>
        <w:br/>
        <w:t>Поверхность затворного шара покрыта хромом с последующей алмазной полировкой, что исключает преждевременный износ седельных колец.</w:t>
      </w:r>
      <w:r>
        <w:rPr>
          <w:rFonts w:ascii="Arial" w:hAnsi="Arial" w:cs="Arial"/>
          <w:color w:val="000000"/>
          <w:sz w:val="23"/>
          <w:szCs w:val="23"/>
        </w:rPr>
        <w:br/>
        <w:t>Тефлоновое (PTFE) седельное кольцо, контактирующее с шаром, выдерживает температурный режим от -25 С до +150 С.</w:t>
      </w:r>
      <w:r>
        <w:rPr>
          <w:rFonts w:ascii="Arial" w:hAnsi="Arial" w:cs="Arial"/>
          <w:color w:val="000000"/>
          <w:sz w:val="23"/>
          <w:szCs w:val="23"/>
        </w:rPr>
        <w:br/>
        <w:t>Два уровня герметизации кольцо O-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Ring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из материала E.P.D.M,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ремонтопригодная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конструкция на основе толстого уплотнительного кольца из  материала P.T.F.E.</w:t>
      </w:r>
      <w:r>
        <w:rPr>
          <w:rFonts w:ascii="Arial" w:hAnsi="Arial" w:cs="Arial"/>
          <w:color w:val="000000"/>
          <w:sz w:val="23"/>
          <w:szCs w:val="23"/>
        </w:rPr>
        <w:br/>
        <w:t xml:space="preserve">Увеличенное количество витков резьбы в месте соединения двух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полукорпусов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крана имеет больший запас прочности, вследствие чего увеличивается предельно-допустимый  крутящий момента и максимальный изгибающий момент.</w:t>
      </w:r>
    </w:p>
    <w:p w:rsidR="00CD72E2" w:rsidRDefault="00CD72E2">
      <w:bookmarkStart w:id="0" w:name="_GoBack"/>
      <w:bookmarkEnd w:id="0"/>
    </w:p>
    <w:sectPr w:rsidR="00CD72E2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15FDF"/>
    <w:rsid w:val="000F539A"/>
    <w:rsid w:val="00115FDF"/>
    <w:rsid w:val="004463D7"/>
    <w:rsid w:val="00955B1E"/>
    <w:rsid w:val="00C637B4"/>
    <w:rsid w:val="00CD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05F2E-E4F6-4A34-B59A-9C0400DA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CD72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2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D72E2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D7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sharovoy-polnoprokhodnoy-trekhkhodovoy-ruchka-rychag-v-v-v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D09619E9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2021-06-28T12:56:00Z</dcterms:created>
  <dcterms:modified xsi:type="dcterms:W3CDTF">2021-06-28T12:57:00Z</dcterms:modified>
</cp:coreProperties>
</file>